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42,500,000 for the Shares.</w:t>
      </w:r>
    </w:p>
    <w:p>
      <w:r>
        <w:t>2. Closing. Closing shall occur within 35 days of signing.</w:t>
      </w:r>
    </w:p>
    <w:p>
      <w:r>
        <w:t>3. Representations. The Seller represents that: (a) the financial statements are accurate and certified by the auditors; (b) there are no undisclosed liabilities; and (c) the Seller is in compliance with all applicable laws.</w:t>
      </w:r>
    </w:p>
    <w:p>
      <w:r>
        <w:t>5. Confidentiality. Both parties agree to keep the terms of this Agreement and all related information confidential, applying equally to both Seller and Buyer.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