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and warrants that the financial statements provided to the Buyer are accurate and complete in all material respects as of the date of this Agreement.</w:t>
      </w:r>
    </w:p>
    <w:p>
      <w:r>
        <w:t>4. Confidentiality. The terms and existence of this Agreement, and all negotiations pursuant to it, are confidential and shall not be disclosed by either party except as required by law or with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