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The Seller represents and warrants to the Buyer that:</w:t>
        <w:br/>
        <w:t>(a) the Seller is the sole legal and beneficial owner of, and has good and marketable title to, the Shares, free and clear of all liens and encumbrances;</w:t>
        <w:br/>
        <w:t>(b) the financial statements provided to the Buyer are accurate and complete in all material respects as of the date of this Agreement;</w:t>
        <w:br/>
        <w:t>(c) to the Seller's knowledge, the Seller has no undisclosed liabilities, other than those disclosed in the financial statements or incurred in the ordinary course of business since the balance sheet date;</w:t>
        <w:br/>
        <w:t>(d) the Seller is in compliance in all material respects with applicable laws in relation to the Shares and the business;</w:t>
        <w:br/>
        <w:t>(e) there is no pending or, to the Seller's knowledge, threatened litigation or governmental proceeding against the Seller relating to the Shares;</w:t>
        <w:br/>
        <w:t>(f) the Seller has duly and timely paid all material taxes related to the Shares and the business, or has adequate reserves set aside for the payment thereof;</w:t>
        <w:br/>
        <w:t>(g) since the balance sheet date, there has not been any material adverse change in the business, operations, or financial condition of the company, other than as disclosed to the Buyer in writing.</w:t>
      </w:r>
    </w:p>
    <w:p>
      <w:r>
        <w:t>4. Confidentiality. The terms and existence of this Agreement, and all negotiations pursuant to it, are confidential and shall not be disclosed by either party except as required by law or with the other party’s prior written consent; provided, however, the Buyer may disclose this Agreement and its terms to its financiers, affiliates, and professional advisers, solely for the purposes of the transaction, provided that such parties are informed of the confidential nature of the information and are subject to confidentiality obligations at least as strict as those set forth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