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36,500,000 for the Shares, subject to satisfactory due diligence results.</w:t>
      </w:r>
    </w:p>
    <w:p>
      <w:r>
        <w:t>2. Closing. Closing shall occur within 45 days of signing to allow for due diligence and financing processes.</w:t>
      </w:r>
    </w:p>
    <w:p>
      <w:r>
        <w:t>3. Representations and Warranties. The Seller represents and warrants that: (a) it has good and marketable title to the Shares; (b) there are no undisclosed liabilities as of the date hereof; (c) the Company is in compliance with all applicable laws; and (d) since the date of the latest financial statements, there has been no material adverse change in the business, operations, or condition (financial or otherwise) of the Company.</w:t>
      </w:r>
    </w:p>
    <w:p>
      <w:r>
        <w:t>5. Indemnity. The Seller shall indemnify and hold harmless the Buyer from and against any losses arising from any breach of the Seller's representations, warranties, or covenants contained herein.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Aldous Finch LLP</dc:creator>
  <cp:keywords/>
  <dc:description>Round 2 draft reflecting acceptance of Buyer's major commercial terms and a constructive approach to closing.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