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Shares.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Closing. Closing shall occur within 30 days of signing.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t>3. Representations. The Seller represents that the financial statements are accurate.</w:t>
      </w:r>
      <w:commentRangeEnd w:id="2"/>
      <w:r>
        <w:rPr>
          <w:rStyle w:val="CommentReference"/>
        </w:rPr>
        <w:commentReference w:id="2"/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47:41Z">
    <w:p>
      <w:pPr>
        <w:pStyle w:val="CommentText"/>
      </w:pPr>
      <w:r>
        <w:rPr>
          <w:rStyle w:val="CommentReference"/>
        </w:rPr>
        <w:annotationRef/>
      </w:r>
      <w:r>
        <w:t>Initial price set at Seller's asking. Open to discussion depending on structure or terms.</w:t>
      </w:r>
    </w:p>
  </w:comment>
  <w:comment w:id="1" w:author="Drafting Associate" w:initials="DA" w:date="2026-10-26T13:47:41Z">
    <w:p>
      <w:pPr>
        <w:pStyle w:val="CommentText"/>
      </w:pPr>
      <w:r>
        <w:rPr>
          <w:rStyle w:val="CommentReference"/>
        </w:rPr>
        <w:annotationRef/>
      </w:r>
      <w:r>
        <w:t>30-day closing proposed for efficiency; let us know if Buyer needs more time for due diligence or financing.</w:t>
      </w:r>
    </w:p>
  </w:comment>
  <w:comment w:id="2" w:author="Drafting Associate" w:initials="DA" w:date="2026-10-26T13:47:41Z">
    <w:p>
      <w:pPr>
        <w:pStyle w:val="CommentText"/>
      </w:pPr>
      <w:r>
        <w:rPr>
          <w:rStyle w:val="CommentReference"/>
        </w:rPr>
        <w:annotationRef/>
      </w:r>
      <w:r>
        <w:t>Limited reps at this stage; can expand based on Buyer's requests.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