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39,500,000 for the Shares.</w:t>
      </w:r>
    </w:p>
    <w:p>
      <w:r>
        <w:t>2. Closing. Closing shall occur within 45 days of signing.</w:t>
      </w:r>
    </w:p>
    <w:p>
      <w:r>
        <w:t>3. Representations. The Seller represents and warrants that:</w:t>
        <w:br/>
        <w:t xml:space="preserve">  (a) it has authority to enter into this Agreement and perform its obligations;</w:t>
        <w:br/>
        <w:t xml:space="preserve">  (b) it holds good and marketable title to the Shares, free of liens and encumbrances;</w:t>
        <w:br/>
        <w:t xml:space="preserve">  (c) the most recent financial statements provided to the Buyer are accurate in all material respects;</w:t>
        <w:br/>
        <w:t xml:space="preserve">  (d) there are no undisclosed material liabilities relating to the Seller or the Shares;</w:t>
        <w:br/>
        <w:t xml:space="preserve">  (e) it is in compliance with all applicable laws in all material respects;</w:t>
        <w:br/>
        <w:t xml:space="preserve">  (f) it is not party to any material contract not disclosed to the Buyer, and,</w:t>
        <w:br/>
        <w:t xml:space="preserve">  (g) it has not received written notice of any litigation or governmental proceeding pending or threatened against the Seller or the Shares.</w:t>
      </w:r>
    </w:p>
    <w:p>
      <w:r>
        <w:t>4. Confidentiality. The terms of this Agreement are confidential, provided that each party may disclose information to its professional advisers, potential financing sources, and as required by law.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