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Shares, which the Seller represents reflects the true value of the Shares.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33,500,000 floor</w:delText>
        </w:r>
      </w:del>
    </w:p>
    <w:p>
      <w:r>
        <w:t>2. Closing. Closing shall occur within 30 days of signing, unless mutually agreed otherwise in writing, to ensure proper preparations for both parties.</w:t>
      </w:r>
    </w:p>
    <w:p>
      <w:r>
        <w:t>3. Representations. The Seller represents that the financial statements are accurate and a true reflection of the Company's financial position, to the best of Seller's knowledge and belief.</w:t>
      </w:r>
    </w:p>
    <w:p>
      <w:r>
        <w:t>4. Confidentiality. The terms of this Agreement, including any negotiations, communications, and discussions, are confidential and shall not be disclosed to any third party without prior written consent of the Seller.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45:59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33,500,000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