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a purchase price to be mutually agreed upon, with an initial offer starting at USD 45,000,000 for the Shares.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on or before 30 days after the signing, unless mutually agreed otherwise.</w:t>
      </w:r>
    </w:p>
    <w:p>
      <w:r>
        <w:t>3. Representations. The Seller represents that the financial statements provided to the Buyer are accurate and true to the best of the Seller's knowledge.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46:00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31,000,000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