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1. Purchase Price. The Buyer shall pay the Seller USD 35,000,000 for the Shares.</w:t>
      </w:r>
    </w:p>
    <w:p>
      <w:r>
        <w:t>2. Closing. Closing shall occur within 15 business days of signing.</w:t>
      </w:r>
    </w:p>
    <w:p>
      <w:r>
        <w:t>3. Representations. The Seller represents that the financial statements are accurate.</w:t>
      </w:r>
    </w:p>
    <w:p>
      <w:r>
        <w:t>4. Confidentiality. The terms of this Agreement, including the Purchase Price, are confidential and shall not be disclosed to any third parties without prior written consent of the Seller.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