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35,000,000 for the Shares.</w:t>
      </w:r>
    </w:p>
    <w:p>
      <w:r>
        <w:t>Closing shall occur within 30 business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Agreement, including the Purchase Price, are confidential and shall not be disclosed to any third parties without prior written consent of the Seller.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