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The Buyer shall pay the Seller USD 40,000,000 for the Shares.</w:t>
      </w:r>
    </w:p>
    <w:p>
      <w:r>
        <w:t>2. Closing. Closing shall occur within 30 days of signing.</w:t>
      </w:r>
    </w:p>
    <w:p>
      <w:r>
        <w:t>The Seller represents that the financial statements are accurate and in accordance with generally accepted accounting principles (GAAP).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