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40,000,000 for the Shares, subject to further negotiation.</w:t>
      </w:r>
    </w:p>
    <w:p>
      <w:r>
        <w:t>2. Closing. Closing shall occur within 30 days of signing, or as mutually agreed upon by the parties.</w:t>
      </w:r>
    </w:p>
    <w:p>
      <w:r>
        <w:t>3. Representations. The Seller represents that the financial statements are accurate and have been prepared in accordance with applicable accounting principles. The Seller further warrants that there have been no material changes to the financial position of the Seller as of the date of this Agreement.</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