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40,000,000 for the Shares, subject to adjustments based on the outcome of due diligence.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Agreement, including the Purchase Price, are confidential and shall not be disclosed to any third party without the prior written consent of the other party.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