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The Buyer shall pay the Seller USD 40,000,000 for the Shares, subject to adjustments based on the outcome of due diligence, and shall be subject to further negotiations depending on the results of such due diligence.</w:t>
      </w:r>
    </w:p>
    <w:p>
      <w:r>
        <w:t>Closing shall occur within 45 days of signing.</w:t>
      </w:r>
    </w:p>
    <w:p>
      <w:r>
        <w:t>The Seller represents that the financial statements are accurate and free from any undisclosed liabilities or material agreements that could affect the valuation of the Shares.</w:t>
      </w:r>
    </w:p>
    <w:p>
      <w:r>
        <w:t>4. Confidentiality. The terms of this Agreement, including the Purchase Price, are confidential and shall not be disclosed to any third party without the prior written consent of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