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Shares, subject to adjustments based on due diligence findings.</w:t>
      </w:r>
    </w:p>
    <w:p>
      <w:r>
        <w:t>2. Closing. Closing shall occur within 30 days of signing, provided that all conditions precedent have been satisfied.</w:t>
      </w:r>
    </w:p>
    <w:p>
      <w:r>
        <w:t>3. Representations. The Seller represents that the financial statements are accurate and complete to the best of its knowledge.</w:t>
      </w:r>
    </w:p>
    <w:p>
      <w:r>
        <w:t>4. Confidentiality. The terms of this Agreement are confidential, and neither party shall disclose them without prior written consent from the other.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