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subject to adjustments based on due diligence findings, including but not limited to any undisclosed liabilities that are revealed during the review process.</w:t>
      </w:r>
    </w:p>
    <w:p>
      <w:r>
        <w:t>2. Closing. Closing shall occur within 45 days of signing, provided that all conditions precedent have been satisfied, and the Buyer has completed its due diligence to its satisfaction with no material adverse findings.</w:t>
      </w:r>
    </w:p>
    <w:p>
      <w:r>
        <w:t>3. Representations. The Seller represents that the financial statements are accurate and complete to the best of its knowledge and that there are no known undisclosed liabilities affecting the financial condition of the Seller.</w:t>
      </w:r>
    </w:p>
    <w:p>
      <w:r>
        <w:t>4. Confidentiality. The terms of this Agreement are confidential, and neither party shall disclose them without prior written consent from the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