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subject to negotiation based on due diligence findings or other considerations.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