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 xml:space="preserve">The Buyer shall pay the Seller USD 45,000,000 for the Shares, subject to negotiation based on due diligence findings or other considerations. </w:t>
        <w:br/>
        <w:t>Additional considerations may include adjustments based on material information identified during the review process.</w:t>
      </w:r>
    </w:p>
    <w:p>
      <w:r>
        <w:t>Closing shall occur within a mutually agreeable timeframe, taking into account the results of the due diligence review and any necessary extensions beyond the initial 30 days if warranted.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