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Shares; however, the Seller is open to negotiating the purchase price within a range that may align with market conditions and mutual interests.</w:t>
      </w:r>
    </w:p>
    <w:p>
      <w:r>
        <w:t>2. Closing. Closing shall occur within 45 days of signing, subject to thorough due diligence to be conducted by the Buyer.</w:t>
      </w:r>
    </w:p>
    <w:p>
      <w:r>
        <w:t>3. Representations. The Seller represents that, to the best of its knowledge, the financial statements are accurate and shall provide any relevant disclosures necessary to support these representations.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