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provided that the minimum acceptable price shall be USD 21,000,000.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