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Shares, with flexibility for negotiations, provided that the minimum acceptable price shall be USD 21,000,000.</w:t>
      </w:r>
    </w:p>
    <w:p>
      <w:r>
        <w:t>2. Closing. Closing shall occur within 30 days of signing.</w:t>
      </w:r>
    </w:p>
    <w:p>
      <w:r>
        <w:t>3. Representations. The Seller represents that the financial statements are accurate and provide a comprehensive account of the company's financial health, to the best of the Seller's knowledge.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