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45,000,000, which is reflective of the Seller's valuation; however, a minimum reservation price of USD 23,500,000 for the Shares has been acknowledged.</w:t>
      </w:r>
    </w:p>
    <w:p>
      <w:r>
        <w:t>2. Closing. Closing shall occur within 45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