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2. Purchase Price. The Buyer shall pay the Seller USD 45,000,000 for the Shares, subject only to any mutually agreed, customary post-closing adjustment mechanism expressly set out in this Agreement.</w:t>
      </w:r>
    </w:p>
    <w:p>
      <w:r>
        <w:t>3. Closing. Closing shall occur within 60 days of signing, subject to completion of customary closing deliverables reasonably required to effect the transaction in substantially the form contemplated by this Agreement.</w:t>
      </w:r>
    </w:p>
    <w:p>
      <w:r>
        <w:t>4. Representations. The Seller represents that: (a) the Seller has the requisite authority to enter into and perform this Agreement; (b) the Seller holds good title to the Shares and will transfer such title free and clear of liens and encumbrances; (c) this Agreement does not conflict with any material agreement or obligation binding on the Seller; (d) the Seller has complied in all material respects with applicable law in connection with the ownership and transfer of the Shares; (e) there are no undisclosed liabilities of the Company other than liabilities incurred in the ordinary course of business consistent with past practice; (f) the financial statements fairly present, in all material respects, the financial condition of the Company; and (g) there has been no material adverse change in the business of the Company since the date of the latest financial statements.</w:t>
      </w:r>
    </w:p>
    <w:p>
      <w:r>
        <w:t>6. Confidentiality. The terms of this Agreement are confidential, and each party may disclose such terms only to its representatives, financing sources, insurers, and advisers, and as otherwise required by law or stock exchange rule, in each case subject to customary confidentiality obligations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