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immediately available funds at Closing, without set-off, deduction or withholding except as required by applicable law, and subject only to any adjustment expressly set forth in this Agreement.</w:t>
      </w:r>
    </w:p>
    <w:p>
      <w:r>
        <w:t>2. Closing. Closing shall occur within 30 days after signing, or on such other date as the Seller and Buyer may agree in writing, and in any event subject to the satisfaction or waiver of all conditions precedent applicable to both the Seller and the Buyer, including the delivery of customary closing deliverables by each party.</w:t>
      </w:r>
    </w:p>
    <w:p>
      <w:r>
        <w:t>3. Representations. The Seller represents that the financial statements are accurate in all material respects and fairly present the financial condition and results of operations of the Company as of the dates and for the periods stated therein, subject to the qualifications and exceptions set forth in this Agreement and the disclosure schedules. Except as expressly set forth in this Agreement, the Seller makes no other representations or warranties, and the Buyer acknowledges that it is not relying on any statement or representation other than those expressly set forth herein.</w:t>
      </w:r>
    </w:p>
    <w:p>
      <w:r>
        <w:t>4. Confidentiality. The terms of this Agreement are confidential, and each party shall keep them confidential except as required by law or regulation or to its representatives, financing sources, and professional advisers who have a need to know and are informed of the confidential nature of this Agreement and subject to customary confidentiality obligations.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