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 at Closing.</w:t>
      </w:r>
    </w:p>
    <w:p>
      <w:r>
        <w:t>2. Closing. Closing shall occur on a date mutually agreed by the parties, but in any event no later than 30 days after signing.</w:t>
      </w:r>
    </w:p>
    <w:p>
      <w:r>
        <w:t>3. Representations. The Seller represents that the financial statements are, in all material respects, accurate.</w:t>
      </w:r>
    </w:p>
    <w:p>
      <w:r>
        <w:t>4. Confidentiality. The terms of this Agreement are confidential, except as may be required by applicable law or for disclosures to advisers and financing sources subject to customary confidentiality obligations.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