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45 days of signing, subject to the parties’ good-faith completion of customary closing deliverables.</w:t>
      </w:r>
    </w:p>
    <w:p>
      <w:r>
        <w:t>3. Representations. The Seller represents, to the best of its knowledge and in all material respects, that the financial statements are accurate.</w:t>
      </w:r>
    </w:p>
    <w:p>
      <w:r>
        <w:t>4. Confidentiality. The terms of this Agreement are confidential, except as required by applicable law, regulation, or court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