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2. Closing. Closing shall occur within 30 days of signing, subject to completion of the Buyer’s customary closing deliverables and satisfaction or waiver of any conditions precedent set forth in this Agreement.</w:t>
      </w:r>
    </w:p>
    <w:p>
      <w:r>
        <w:t>3. Representations. The Seller represents, to the best of its knowledge after reasonable inquiry, that the financial statements are accurate in all material respects.</w:t>
      </w:r>
    </w:p>
    <w:p>
      <w:r>
        <w:t>4. Confidentiality. The terms of this Agreement are confidential, except to the extent disclosure is required by applicable law or to the parties’ professional advisers on a need-to-know basis subject to confidentiality obligations.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