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2. Closing. Closing shall occur within 45 days of signing, subject to completion of the Buyer’s customary closing deliverables, delivery of ancillary documents reasonably necessary to consummate the transaction, completion of the Buyer’s diligence to the Buyer’s reasonable satisfaction, and no material adverse change having occurred between signing and closing, in each case to the extent not waived in writing by the parties.</w:t>
      </w:r>
    </w:p>
    <w:p>
      <w:r>
        <w:t>3. Representations. The Seller represents, to the best of its knowledge after reasonable inquiry, that the financial statements are accurate in all material respects, have been prepared in accordance with applicable accounting principles consistently applied, fairly present the financial condition and results of operations of the Seller in all material respects, and do not omit any material liabilities not otherwise disclosed or reserved against therein.</w:t>
      </w:r>
    </w:p>
    <w:p>
      <w:r>
        <w:t>4. Confidentiality. The terms of this Agreement are confidential, except to the extent disclosure is required by applicable law, regulation, stock exchange rule, or regulatory request, or to the parties’ affiliates, financing sources, insurers, and professional advisers on a need-to-know basis and subject to customary confidentiality obligations.</w:t>
      </w:r>
    </w:p>
    <w:p>
      <w:r>
        <w:t>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