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42,500,000 for the Shares.</w:t>
      </w:r>
    </w:p>
    <w:p>
      <w:r>
        <w:t>2. Closing. Closing shall occur within 20 days of signing.</w:t>
      </w:r>
    </w:p>
    <w:p>
      <w:r>
        <w:t>3. Representations. The Seller represents that the financial statements are accurate, subject to the disclosures in the disclosure schedules and in all material respects.</w:t>
      </w:r>
    </w:p>
    <w:p>
      <w:r>
        <w:t>4. Confidentiality. The terms of this Agreement are confidential, except as required by law or to a party’s affiliates, advisors, and financing sources on a need-to-know basis subject to customary confidentiality obligations.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