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Adjustment. The Buyer shall pay the Seller USD 41,500,000 for the Shares, subject to a customary closing accounts adjustment for cash, indebtedness (including debt-like items), and working capital, in each case as determined as of the Closing Date in accordance with the agreed accounting principles and a true-up procedure to be set forth in the closing statement.</w:t>
      </w:r>
    </w:p>
    <w:p>
      <w:r>
        <w:t>2. Closing. Closing shall occur within 30 days of signing, or on such later date as the parties may agree in writing, subject to satisfaction or waiver of the conditions to Closing set forth in this Agreement.</w:t>
      </w:r>
    </w:p>
    <w:p>
      <w:r>
        <w:t>3. Representations. The Seller represents that the financial statements are true, correct, and complete in all material respects and fairly present, in all material respects, the financial condition and results of operations of the Company, subject to the disclosures in the disclosure schedules and any agreed materiality qualifiers set forth in this Agreement.</w:t>
      </w:r>
    </w:p>
    <w:p>
      <w:r>
        <w:t>4. Confidentiality. The terms of this Agreement are confidential, except as required by law or to a party’s affiliates, advisors, equity and debt financing sources, potential syndication participants, and representatives on a need-to-know basis, in each case subject to customary confidentiality obligations; provided that any disclosure to financing sources shall be limited to information reasonably necessary to consummate the transactions contemplated hereby.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