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commentRangeStart w:id="0"/>
      <w:r>
        <w:t>1. Purchase Price. The Buyer shall pay the Seller USD 41,000,000 for the Shares, payable in immediately available funds at Closing; provided that USD 3,000,000 of the Purchase Price shall be held back in escrow for a period of 12 months following Closing to secure any bona fide post-Closing adjustment or indemnity claim in accordance with this Agreement.</w:t>
      </w:r>
      <w:commentRangeEnd w:id="0"/>
      <w:r>
        <w:rPr>
          <w:rStyle w:val="CommentReference"/>
        </w:rPr>
        <w:commentReference w:id="0"/>
      </w:r>
    </w:p>
    <w:p>
      <w:r>
        <w:t>2. Closing. Closing shall occur on the date that is 60 days after signing, or such later date as the parties may mutually agree in writing; provided that Buyer may postpone Closing for up to 15 additional days if reasonably necessary to complete financing arrangements or obtain required regulatory approvals, so long as Buyer is using commercially reasonable efforts to satisfy the applicable condition(s).</w:t>
      </w:r>
    </w:p>
    <w:p>
      <w:commentRangeStart w:id="1"/>
      <w:r>
        <w:t>3. Representations. The Seller represents, to its knowledge and in all material respects, that the financial statements are accurate and fairly present the financial condition of the Company in all material respects; that the Seller has full power and authority to enter into and perform this Agreement; that the Shares are validly owned by Seller free and clear of liens (other than any Permitted Encumbrances expressly disclosed in this Agreement); that, except as disclosed in writing to Buyer, the Company has no material liabilities required to be reflected on a balance sheet prepared in accordance with the applicable accounting principles; and that, except as disclosed in writing to Buyer, there is no pending or threatened material litigation against Seller or the Company. The foregoing includes customary fundamental representations, but only to the extent expressly stated herein and subject to the limitations of this Agreement.</w:t>
      </w:r>
      <w:commentRangeEnd w:id="1"/>
      <w:r>
        <w:rPr>
          <w:rStyle w:val="CommentReference"/>
        </w:rPr>
        <w:commentReference w:id="1"/>
      </w:r>
    </w:p>
    <w:p>
      <w:r>
        <w:t>4. Confidentiality. The terms of this Agreement and any negotiations relating to it are confidential, except as required by law or for disclosure to the parties’ respective advisors, financing sources, insurers, co-investors, potential co-investors, affiliates, and other customary transaction participants on a need-to-know basis, each subject to customary confidentiality obligations; provided that Buyer may disclose the existence and terms of the transaction as reasonably necessary for financing, regulatory, tax, accounting, or internal reporting purposes, in each case subject to customary confidentiality obligations where practicable.</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rafting Associate" w:initials="DA" w:date="2026-10-26T13:45:50Z">
    <w:p>
      <w:pPr>
        <w:pStyle w:val="CommentText"/>
      </w:pPr>
      <w:r>
        <w:rPr>
          <w:rStyle w:val="CommentReference"/>
        </w:rPr>
        <w:annotationRef/>
      </w:r>
      <w:r>
        <w:t>Seller is prepared to accommodate a modest economics adjustment and a limited escrow, but not a broader post-closing holdback or open-ended contingent purchase price mechanism.</w:t>
      </w:r>
    </w:p>
  </w:comment>
  <w:comment w:id="1" w:author="Drafting Associate" w:initials="DA" w:date="2026-10-26T13:45:50Z">
    <w:p>
      <w:pPr>
        <w:pStyle w:val="CommentText"/>
      </w:pPr>
      <w:r>
        <w:rPr>
          <w:rStyle w:val="CommentReference"/>
        </w:rPr>
        <w:annotationRef/>
      </w:r>
      <w:r>
        <w:t>We have expanded the rep package in a balanced way, but retained knowledge/materiality qualifiers and avoided an uncapped, Buyer-friendly indemnity regime.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