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40,000,000 for the Shares.</w:t>
      </w:r>
    </w:p>
    <w:p>
      <w:r>
        <w:t>2. Closing. Closing shall occur within 45 days of signing, subject to the satisfaction or waiver of customary closing conditions.</w:t>
      </w:r>
    </w:p>
    <w:p>
      <w:r>
        <w:t>3. Representations. The Seller represents that: (a) it has the authority to enter into and perform this Agreement; (b) it has good and valid title to the Shares, free and clear of liens other than any arising under applicable securities laws or this Agreement; (c) there are no material undisclosed liabilities of the Company, other than liabilities incurred in the ordinary course of business since the balance sheet date; (d) the Company is in material compliance with applicable law; and (e) there is no pending or, to the Seller's knowledge, threatened litigation that would materially adversely affect the Company or the transactions contemplated hereby.</w:t>
      </w:r>
    </w:p>
    <w:p>
      <w:r>
        <w:t>4. Confidentiality. The terms of this Agreement are confidential, except to the extent disclosure is required by applicable law or regulation, requested by a regulator, reasonably necessary to obtain financing, or made to the parties' legal, financial, tax, accounting, and other professional advisers who are bound by confidentiality obligations.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