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in cash for the Shares at Closing.</w:t>
      </w:r>
    </w:p>
    <w:p>
      <w:r>
        <w:t>2. Closing. Closing shall occur within 30 days of signing, subject to satisfaction or waiver of the conditions precedent set forth in this Agreement.</w:t>
      </w:r>
    </w:p>
    <w:p>
      <w:r>
        <w:t>3. Representations. The Seller represents, to the best of its knowledge, that the financial statements are accurate in all material respects.</w:t>
      </w:r>
    </w:p>
    <w:p>
      <w:r>
        <w:t>4. Confidentiality. The terms of this Agreement are confidential, subject to customary disclosures to affiliates, advisers, financing sources, and as required by law, and each party shall keep such terms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