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43,500,000 in cash for the Shares at Closing, subject to a post-Closing adjustment for Net Working Capital, Indebtedness, and Cash, calculated on the basis of the Closing Statement to be prepared in accordance with this Agreement.</w:t>
      </w:r>
    </w:p>
    <w:p>
      <w:r>
        <w:t>2. Closing. Closing shall occur on the date that is five (5) Business Days after satisfaction or, to the extent permitted by law, waiver of all conditions precedent set forth in this Agreement, and in any event no later than forty-five (45) days after signing, provided that Buyer may waive any condition included solely for its benefit in its sole discretion.</w:t>
      </w:r>
    </w:p>
    <w:p>
      <w:r>
        <w:t>3. Representations. The Seller represents and warrants, as of the date of this Agreement and as of Closing, that: (a) the financial statements delivered to Buyer are true and correct in all material respects, have been prepared in accordance with GAAP consistently applied, and fairly present in all material respects the financial condition and results of operations of the Company; and (b) the Seller makes the customary fundamental and business representations set forth in the disclosure schedules, subject in each case to materiality qualifiers and the disclosures expressly set forth in those schedules.</w:t>
      </w:r>
    </w:p>
    <w:p>
      <w:r>
        <w:t>4. Confidentiality. The terms of this Agreement are confidential, subject to disclosures to a party’s affiliates, directors, officers, employees, financing sources, prospective financing sources, investors, insurers, accountants, attorneys, advisers, and representatives, and as required or advisable for tax, legal, regulatory, diligence, accounting, internal approval, or other customary transaction purposes, provided that any such recipient is informed of the confidential nature of the information and, where commercially reasonable, agrees to maintain its confidentiality.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