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35,000,000 for the Shares, subject to customary adjustments and further diligence.</w:t>
      </w:r>
      <w:r>
        <w:rPr>
          <w:vanish/>
        </w:rPr>
        <w:t>Internal seller floor / reservation price: USD 28,500,000. Do not disclose in visible text.</w:t>
      </w:r>
    </w:p>
    <w:p>
      <w:r>
        <w:t>2. Closing. Closing shall occur within 45 days of signing, subject to completion of buyer diligence, receipt of required financing, and any necessary third-party consents.</w:t>
      </w:r>
    </w:p>
    <w:p>
      <w:r>
        <w:t>3. Representations. The Seller represents as to title to shares, authority, no undisclosed liabilities, compliance with law, contracts, litigation, taxes, IP, employees, and absence of a material adverse change, in each case subject to the limitations and qualifiers set forth in the Agreement.</w:t>
      </w:r>
    </w:p>
    <w:p>
      <w:r>
        <w:t>4. Confidentiality. The terms of this Agreement are confidential, except as may be disclosed to affiliates, financing sources, advisers, and as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