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subject to further discussion on economic terms.</w:t>
      </w:r>
    </w:p>
    <w:p>
      <w:commentRangeStart w:id="0"/>
      <w:r>
        <w:t>2. Closing. Closing shall occur no earlier than 90 days after signing and shall be subject to customary closing conditions, including completion of Buyer’s diligence and financing arrangements to the extent applicable.</w:t>
      </w:r>
      <w:commentRangeEnd w:id="0"/>
      <w:r>
        <w:rPr>
          <w:rStyle w:val="CommentReference"/>
        </w:rPr>
        <w:commentReference w:id="0"/>
      </w:r>
    </w:p>
    <w:p>
      <w:commentRangeStart w:id="1"/>
      <w:commentRangeStart w:id="2"/>
      <w:r>
        <w:t>3. Representations. The Seller represents and warrants, in addition to the financial statements, as to authority, title to the Shares, absence of undisclosed liabilities, compliance with law, taxes, litigation, and no material adverse change, in each case subject to customary qualifications.</w:t>
      </w:r>
      <w:commentRangeEnd w:id="1"/>
      <w:r>
        <w:rPr>
          <w:rStyle w:val="CommentReference"/>
        </w:rPr>
        <w:commentReference w:id="1"/>
      </w:r>
      <w:commentRangeEnd w:id="2"/>
      <w:r>
        <w:rPr>
          <w:rStyle w:val="CommentReference"/>
        </w:rPr>
        <w:commentReference w:id="2"/>
      </w:r>
    </w:p>
    <w:p>
      <w:r>
        <w:t>4. Confidentiality. The terms of this Agreement are confidential, subject to customary carve-outs for disclosures required by law, regulation, court order, or to the parties’ respective affiliates, financing sources, and professional advisers on a need-to-know basis.</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rafting Associate" w:initials="DA" w:date="2026-10-26T13:46:26Z">
    <w:p>
      <w:pPr>
        <w:pStyle w:val="CommentText"/>
      </w:pPr>
      <w:r>
        <w:rPr>
          <w:rStyle w:val="CommentReference"/>
        </w:rPr>
        <w:annotationRef/>
      </w:r>
      <w:r>
        <w:t>Buyer to provide a mark-up with its proposed diligence/financing timetable and any additional closing conditions it requires.</w:t>
      </w:r>
    </w:p>
  </w:comment>
  <w:comment w:id="1" w:author="Drafting Associate" w:initials="DA" w:date="2026-10-26T13:46:26Z">
    <w:p>
      <w:pPr>
        <w:pStyle w:val="CommentText"/>
      </w:pPr>
      <w:r>
        <w:rPr>
          <w:rStyle w:val="CommentReference"/>
        </w:rPr>
        <w:annotationRef/>
      </w:r>
      <w:r>
        <w:t>Please confirm whether Buyer is seeking a full indemnity regime with survival periods and escrow/holdback mechanics, so we can align the draft accordingly.</w:t>
      </w:r>
    </w:p>
  </w:comment>
  <w:comment w:id="2" w:author="Drafting Associate" w:initials="DA" w:date="2026-10-26T13:46:26Z">
    <w:p>
      <w:pPr>
        <w:pStyle w:val="CommentText"/>
      </w:pPr>
      <w:r>
        <w:rPr>
          <w:rStyle w:val="CommentReference"/>
        </w:rPr>
        <w:annotationRef/>
      </w:r>
      <w:r>
        <w:t>Seller is prepared to discuss a more fulsome covenant package, including customary pre-closing covenants and a termination right if conditions are not satisfied by the outside date.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