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w:t>
      </w:r>
      <w:r>
        <w:rPr>
          <w:vanish/>
        </w:rPr>
        <w:t>Internal settlement note: Seller floor is USD 31,000,000; do not disclose in rendered output.</w:t>
      </w:r>
    </w:p>
    <w:p>
      <w:r>
        <w:t>2. Closing. Closing shall occur within 90 days of signing, subject to satisfaction or waiver of the conditions precedent set out in this Agreement. If Closing has not occurred by the outside date, either party may terminate this Agreement by written notice, without prejudice to any accrued rights.</w:t>
      </w:r>
    </w:p>
    <w:p>
      <w:r>
        <w:t>3. Representations. The Seller represents and warrants to the Buyer, subject to the Disclosure Schedule and except as otherwise fairly disclosed therein, that: (a) it has title to the Shares; (b) it has full power and authority to enter into and perform this Agreement; (c) its capitalization is as set out in the Disclosure Schedule; (d) it has no undisclosed liabilities other than in the ordinary course; (e) it is in compliance in all material respects with applicable law; (f) there is no pending or threatened litigation that would reasonably be expected to have a material adverse effect; (g) its taxes, contracts, employees and intellectual property matters are as disclosed; and (h) no Material Adverse Change has occurred since the reference date.</w:t>
      </w:r>
    </w:p>
    <w:p>
      <w:r>
        <w:t>6. Confidentiality. The terms of this Agreement are confidential, provided that either party may disclose such terms to its advisers, financing sources and affiliates, and to the extent required by law, regulation, stock exchange rule, court order or similar legal process, in each case subject to customary confidentiality obligations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