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subject to customary closing adjustments for working capital, cash and indebtedness to be agreed in the final form.</w:t>
      </w:r>
      <w:r>
        <w:rPr>
          <w:vanish/>
        </w:rPr>
        <w:t>Internal routing note: Seller reservation price is USD 38,500,000.</w:t>
      </w:r>
    </w:p>
    <w:p>
      <w:r>
        <w:t>2. Closing. Closing shall occur within 30 days of signing, subject to satisfaction or waiver of the agreed closing conditions.</w:t>
      </w:r>
    </w:p>
    <w:p>
      <w:r>
        <w:t>3. Representations. The Seller represents that it has authority to enter into this Agreement and that the Shares are validly issued, fully paid and non-assessable.</w:t>
      </w:r>
    </w:p>
    <w:p>
      <w:r>
        <w:t>4. Confidentiality. The terms of this Agreement are confidential, subject to customary exceptions for advisers, affiliates, financing sources and disclosure required by law.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