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that, to the Seller's knowledge, the financial statements fairly present in all material respects the financial condition of the Company as of the dates indicated therein.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