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Subject to adjustment as set forth in this Agreement, the Buyer shall pay the Seller USD 43,000,000 for the Shares at Closing. The Purchase Price shall be adjusted on a dollar-for-dollar basis for the Company's cash, indebtedness, unpaid transaction expenses, and the amount, if any, by which normalized working capital as of Closing is greater or less than the mutually agreed target working capital, in each case determined in accordance with the Company's historical accounting practices consistently applied.</w:t>
      </w:r>
    </w:p>
    <w:p>
      <w:r>
        <w:t>2. Closing. Closing shall occur no later than 45 days after signing, subject to satisfaction or waiver of the conditions precedent set forth in this Agreement, including receipt of required governmental or third-party approvals, delivery of customary closing deliverables, and the absence of any Material Adverse Effect. Buyer shall be entitled to complete confirmatory diligence prior to Closing solely with respect to matters identified in writing within 10 business days after signing and not otherwise disclosed to Buyer before signing.</w:t>
      </w:r>
    </w:p>
    <w:p>
      <w:r>
        <w:t>3. Representations. The Seller represents and warrants to Buyer that: (a) Seller has good and valid title to the Shares, free and clear of liens other than restrictions arising under securities laws or this Agreement; (b) Seller has the requisite power and authority to enter into and perform this Agreement; (c) the execution and performance of this Agreement by Seller do not conflict with Seller's organizational documents or any material contract binding on Seller; (d) the Company is duly organized, validly existing, and in good standing in its jurisdiction of organization; (e) the capitalization of the Company is as set forth in the disclosure schedules; and (f) the financial statements delivered to Buyer fairly present, in all material respects, the financial condition and results of operations of the Company as of the dates and for the periods indicated, in accordance with the accounting principles historically used by the Company, consistently applied, subject to normal year-end adjustments and the absence of footnotes in the case of unaudited financial statements.</w:t>
      </w:r>
    </w:p>
    <w:p>
      <w:r>
        <w:t>9. Closing Deliverables. At Closing, Seller shall deliver customary instruments of transfer for the Shares, officer certificates, resignations of directors or officers requested by Buyer at least five business days before Closing, and other customary documents reasonably necessary to consummate the transfer of the Shares. Buyer shall deliver the Purchase Price and evidence of authority to consummate the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