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45,000,000 for the Shares, payable in immediately available funds at Closing.</w:t>
      </w:r>
    </w:p>
    <w:p>
      <w:r>
        <w:t>2. Closing. Closing shall occur within 30 days of signing, subject to satisfaction or waiver of the conditions set forth in this Agreement, at such time and place as the parties may mutually agree.</w:t>
      </w:r>
    </w:p>
    <w:p>
      <w:r>
        <w:t>3. Representations. The Seller represents that, to the Seller's knowledge, the financial statements fairly present, in all material respects, the financial condition of the Company as of the dates indicated therein.</w:t>
      </w:r>
    </w:p>
    <w:p>
      <w:r>
        <w:t>4. Confidentiality. The terms of this Agreement, the existence and status of negotiations, and all non-public information exchanged in connection with the transactions contemplated hereby are confidential and shall not be disclosed by either party except to its representatives who have a need to know, as required by law, or with the prior written consent of the other party.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