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to the Seller's knowledge, the financial statements fairly present in all material respects the financial condition and results of operations of the Company for the periods presented, in accordance with the accounting principles historically applied by the Company.</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