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42,000,000 for the Shares at Closing, by wire transfer of immediately available funds to an account designated by the Seller.</w:t>
      </w:r>
    </w:p>
    <w:p>
      <w:r>
        <w:t>2. Closing. Subject to the satisfaction or waiver of the conditions set forth in this Agreement, Closing shall occur on the third Business Day after satisfaction or waiver of the applicable closing conditions, or on such other date as the parties may agree in writing; provided that, unless otherwise agreed by the parties, Closing shall occur no later than 45 days after signing.</w:t>
      </w:r>
    </w:p>
    <w:p>
      <w:r>
        <w:t>3. Representations. The Seller represents that the financial statements delivered to the Buyer fairly present in all material respects the financial condition and results of operations of the Company for the periods presented, in accordance with GAAP consistently applied, subject, in the case of interim financial statements, to normal year-end adjustments and the absence of footnotes.</w:t>
      </w:r>
    </w:p>
    <w:p>
      <w:r>
        <w:t>7.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