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that, to the Seller's knowledge, the financial statements fairly present in all material respects the financial condition and results of operations of the Company for the periods covered thereby.</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