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condition of the Company as of the dates and for the periods indicated therein, subject to normal year-end adjustments and the absence of footnotes.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