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42,500,000 for the Shares, payable in immediately available funds at Closing, subject only to any escrow expressly provided in Section 8.</w:t>
      </w:r>
    </w:p>
    <w:p>
      <w:r>
        <w:t>2. Closing. Closing shall occur within 30 days of signing, subject to satisfaction or waiver of the conditions set forth in this Agreement. The conditions to Buyer's obligation to close shall be limited to: (a) the Seller's representations being true and correct at Closing, except where the failure to be true and correct would not reasonably be expected to have a Material Adverse Effect; (b) the Seller having performed in all material respects its pre-Closing covenants; (c) no Material Adverse Effect having occurred after signing; (d) receipt of required governmental approvals, if any; and (e) delivery of customary share transfer instruments and officer certificates. Buyer may conduct confirmatory diligence during the interim period, and Seller shall reasonably cooperate, provided that completion of diligence shall not be an independent condition to Closing absent a material breach of this Agreement or a Material Adverse Effect.</w:t>
      </w:r>
    </w:p>
    <w:p>
      <w:r>
        <w:t>3. Representations. The Seller represents that: (a) the financial statements delivered to Buyer fairly present, in all material respects, the financial condition and results of operations of the Company as of the dates and for the periods indicated therein, in accordance with the accounting principles historically applied by the Company on a consistent basis, subject, in the case of unaudited interim financial statements, to normal year-end adjustments and the absence of footnotes, none of which is material individually or in the aggregate; (b) the Seller has authority to enter into and perform this Agreement; (c) the Seller has good and valid title to the Shares, free and clear of liens other than transfer restrictions arising under applicable securities laws; (d) the Shares constitute all of the issued and outstanding equity interests of the Company; (e) except as disclosed to Buyer, the Company has no liabilities required to be reflected on a balance sheet under the accounting principles historically applied by the Company, other than liabilities reflected in the financial statements or incurred in the ordinary course since the date of the most recent balance sheet; (f) the Company has filed all material tax returns required to be filed and paid all material taxes due, subject to good-faith disputes and adequate reserves; (g) the Company is in compliance in all material respects with applicable laws; and (h) there is no pending litigation against the Company that would reasonably be expected to be material to the Company.</w:t>
      </w:r>
    </w:p>
    <w:p>
      <w:r>
        <w:t>8. Escrow. At Closing, USD 2,000,000 of the Purchase Price shall be deposited with a mutually acceptable escrow agent for 12 months solely to secure the Seller's indemnification obligations for breaches of general representations and covenants, with release of the remaining balance to Seller at the end of such period, less any pending claims asserted in accordance with this Agreement.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