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40,500,000 for the Shares, payable in immediately available funds at Closing, subject to customary adjustments for cash, indebtedness, normalized working capital and unpaid transaction expenses as finally determined in accordance with a mutually agreed closing statement process. The parties shall cooperate in good faith prior to signing to agree the target working capital amount and related accounting principles, which shall be consistent with the Company's historical practices.</w:t>
      </w:r>
    </w:p>
    <w:p>
      <w:r>
        <w:t>2. Closing. Closing shall occur as promptly as practicable, and in any event within five Business Days, following satisfaction or waiver of the conditions set forth in this Agreement. Buyer shall complete its confirmatory diligence on an expedited basis, and in no event later than 20 days after signing. The outside date shall be 45 days after signing, subject to extension only to the extent necessary to obtain any required governmental approval that is being pursued diligently by the parties.</w:t>
      </w:r>
    </w:p>
    <w:p>
      <w:r>
        <w:t>3. Representations of Seller. Seller represents and warrants to Buyer, subject to the limitations, qualifications and disclosure schedules to be agreed by the parties, that: (a) Seller has good and valid title to the Shares, free and clear of liens other than transfer restrictions under applicable securities laws and liens arising through Buyer; (b) Seller has full power and authority to enter into and perform this Agreement, and this Agreement constitutes a valid and binding obligation of Seller; (c) the Shares constitute all of the issued and outstanding equity interests of the Company and have been duly authorized and validly issued; (d) the Company's financial statements fairly present, in all material respects, the financial condition and results of operations of the Company as of the dates and for the periods indicated therein, in accordance with the accounting principles historically applied by the Company, consistently applied; (e) except as reflected in the financial statements or disclosed to Buyer, the Company has no material liabilities required to be reflected on a balance sheet prepared in accordance with such accounting principles; (f) the Company is, and during the applicable limitation period has been, in material compliance with applicable laws; (g) the Company has timely filed material tax returns required to be filed and has paid all material taxes due and payable, subject to customary exceptions for taxes being contested in good faith; (h) the material contracts disclosed to Buyer are valid and in force in all material respects, and neither the Company nor, to Seller's knowledge, any counterparty is in material breach thereof; (i) there is no material litigation pending or, to Seller's knowledge, threatened against the Company; (j) the Company is in material compliance with applicable employment laws and has no pending material labor dispute; (k) to Seller's knowledge, the Company owns or has the right to use the intellectual property material to the conduct of its business as currently conducted; and (l) since the date of the most recent financial statements, there has not occurred any Material Adverse Effect. For purposes of this Agreement, 'Material Adverse Effect' shall exclude effects resulting from general economic, industry, market, legal or political conditions, changes in law or accounting standards, acts of war, terrorism, pandemics or natural disasters, or the announcement or pendency of the transactions contemplated hereby, except to the extent disproportionately affecting the Company relative to similarly situated businesses.</w:t>
      </w:r>
    </w:p>
    <w:p>
      <w:r>
        <w:t>6. Indemnification. From and after Closing, Seller shall indemnify Buyer for losses finally incurred by Buyer arising out of breaches of Seller's representations and warranties, breaches of Seller's covenants, pre-Closing taxes of the Company, and any excluded liabilities expressly identified in this Agreement. General representations shall survive for 12 months following Closing; fundamental representations and tax matters shall survive for the applicable statute of limitations plus 60 days; and covenants shall survive in accordance with their terms. Seller shall have no liability for breaches of general representations unless aggregate covered losses exceed a deductible basket equal to 1.0% of the purchase price, after which only amounts in excess of the basket shall be recoverable. Seller's aggregate liability for breaches of general representations shall not exceed 10% of the purchase price. Fundamental representations, taxes, covenant breaches and fraud shall not be subject to the general representation cap, except that Seller's aggregate liability shall not exceed the purchase price other than in the case of actual fraud. Indemnifiable losses shall exclude punitive, special, exemplary and consequential damages except to the extent awarded to a third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Initial seller draft of Share Purchase Agreement</dc:subject>
  <dc:creator>Author</dc:creator>
  <cp:keywords>share purchase agreement; seller draft; purchase price</cp:keywords>
  <dc:description/>
  <cp:lastModifiedBy/>
  <cp:revision>1</cp:revision>
  <dcterms:created xsi:type="dcterms:W3CDTF">2013-12-23T23:15:00Z</dcterms:created>
  <dcterms:modified xsi:type="dcterms:W3CDTF">2013-12-23T23:15:00Z</dcterms:modified>
  <cp:category/>
</cp:coreProperties>
</file>