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in immediately available funds by wire transfer to an account designated by the Seller, at Closing.</w:t>
      </w:r>
    </w:p>
    <w:p>
      <w:r>
        <w:t>2. Closing. Closing shall occur within 30 days of signing, subject to the satisfaction or waiver of the conditions expressly set forth in this Agreement, or on such other date as the parties may agree in writing.</w:t>
      </w:r>
    </w:p>
    <w:p>
      <w:r>
        <w:t>3. Representations. The Seller represents that, to the Seller's knowledge, the financial statements fairly present, in all material respects, the financial position and results of operations of the Company for the periods presented.</w:t>
      </w:r>
    </w:p>
    <w:p>
      <w:r>
        <w:t>4. Confidentiality. The terms of this Agreement are confidential and shall not be disclosed by either party except to its representatives, financing sources, or as required by applicable law, regulation, stock exchange rule, or legal process, provided that any permitted recipient is informed of the confidential nature of such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Share Purchase Agreement - Seller Draft</dc:subject>
  <dc:creator>Author</dc:creator>
  <cp:keywords>share purchase agreement; seller draft</cp:keywords>
  <dc:description/>
  <cp:lastModifiedBy/>
  <cp:revision>1</cp:revision>
  <dcterms:created xsi:type="dcterms:W3CDTF">2013-12-23T23:15:00Z</dcterms:created>
  <dcterms:modified xsi:type="dcterms:W3CDTF">2013-12-23T23:15:00Z</dcterms:modified>
  <cp:category/>
</cp:coreProperties>
</file>