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36,000,000 for the Shares (the "Purchase Price"), payable in immediately available funds at Closing. The Purchase Price shall be paid without setoff, deduction, withholding, or counterclaim, except for (a) any withholding required by applicable law, (b) amounts expressly required to be deposited into the Escrow Fund pursuant to Section 7, and (c) any purchase price adjustment or other deduction expressly agreed in writing by the parties in this Agreement. Buyer shall use commercially reasonable efforts to minimize any required withholding and shall provide Seller with reasonable prior notice of any proposed withholding.</w:t>
      </w:r>
    </w:p>
    <w:p>
      <w:r>
        <w:t>2. Closing; Closing Conditions. Closing shall occur as promptly as practicable following satisfaction or waiver of the conditions set forth in this Agreement and in any event no later than 60 days after signing, unless extended by mutual written agreement. Each party's obligation to close is conditioned on: (a) the accuracy of the other party's representations and warranties at signing and at Closing, except for inaccuracies that would not reasonably be expected to be material to the Company or the transactions contemplated hereby; (b) performance in all material respects of the other party's covenants required to be performed before Closing; (c) receipt of required governmental approvals and material third-party consents identified on the disclosure schedules; (d) absence of any law, order, or injunction prohibiting Closing; and (e) delivery of customary officer certificates and ancillary documents. Buyer's obligation to close is further conditioned on: (i) no Material Adverse Effect having occurred after signing; and (ii) Buyer's completion of confirmatory diligence to its reasonable satisfaction within 20 days after signing; provided that Buyer may not rely on this diligence condition with respect to any matter fairly disclosed in the disclosure schedules or in written diligence materials made available to Buyer prior to signing. For purposes of this Agreement, "Material Adverse Effect" means any event, change, or effect that is materially adverse to the business, assets, liabilities, financial condition, or results of operations of the Company, taken as a whole, excluding effects arising from general economic, industry, market, legal, geopolitical, or public health conditions, changes in law or accounting standards, announcement or pendency of the transaction, or actions taken at Buyer's request, except to the extent such effects disproportionately affect the Company relative to similarly situated businesses.</w:t>
      </w:r>
    </w:p>
    <w:p>
      <w:r>
        <w:t>3. Representations and Warranties of Seller. Seller represents and warrants to Buyer that, except as set forth in the disclosure schedules: (a) Seller and the Company are duly organized, validly existing, and in good standing under their respective jurisdictions of organization and have requisite power and authority to own their assets and conduct their businesses; (b) Seller has full power and authority to execute, deliver, and perform this Agreement, and this Agreement has been duly authorized, executed, and delivered by Seller and constitutes a valid and binding obligation of Seller, enforceable against Seller in accordance with its terms, subject to bankruptcy, insolvency, fraudulent transfer, reorganization, moratorium, and similar laws and equitable principles; (c) Seller owns the Shares free and clear of all liens other than transfer restrictions under applicable securities laws, and upon Closing Buyer will acquire good and valid title to the Shares; (d) the capitalization of the Company is as set forth on the disclosure schedules, and there are no outstanding options, warrants, convertible securities, or other rights to acquire equity securities of the Company except as disclosed; (e) the Company's subsidiaries, if any, are identified on the disclosure schedules; (f) the financial statements delivered to Buyer fairly present in all material respects the financial condition and results of operations of the Company as of the dates and for the periods indicated therein, subject to normal year-end adjustments and the notes thereto; (g) the Company has no undisclosed liabilities required to be reflected on a balance sheet prepared in accordance with the accounting principles used in preparing the financial statements, other than liabilities incurred in the ordinary course since the most recent balance sheet date; (h) since the most recent balance sheet date, there has been no Material Adverse Effect and the Company has operated in the ordinary course in all material respects; (i) the Company is, and during the applicable limitations period has been, in material compliance with applicable laws and holds all material permits required for its business; (j) the Company has timely filed all material tax returns required to be filed and has paid all material taxes due and payable, except those being contested in good faith and adequately reserved; (k) the material contracts of the Company are listed on the disclosure schedules, are in full force and effect, and neither the Company nor, to Seller's knowledge, any counterparty is in material breach thereof; (l) there is no material litigation, arbitration, governmental investigation, or proceeding pending or, to Seller's knowledge, threatened against the Company; (m) the Company is in material compliance with applicable employment, labor, and employee benefit laws, and all material benefit plans are identified on the disclosure schedules; (n) the Company owns or has valid rights to use the intellectual property used in its business and, to Seller's knowledge, the conduct of the business does not infringe any third-party intellectual property rights in any material respect; (o) the Company is in material compliance with applicable data privacy and security laws and has not experienced any material unauthorized access to personal information requiring notice under applicable law; (p) except as disclosed, there are no material related-party transactions between the Company, on the one hand, and Seller or its affiliates, on the other hand; and (q) no broker, finder, or investment banker is entitled to any fee or commission from Buyer or the Company in connection with the transactions contemplated by this Agreement based on arrangements made by Seller.</w:t>
      </w:r>
    </w:p>
    <w:p>
      <w:r>
        <w:t>7. Indemnification; Escrow; Remedies. From and after Closing, Seller shall indemnify Buyer and the Company for losses arising from: (a) breaches of Seller's representations and warranties; (b) breaches of Seller's covenants; (c) pre-Closing taxes of the Company to the extent not otherwise reflected in the final Purchase Price or disclosed reserves; and (d) fraud. Non-fundamental representations shall survive for 12 months after Closing; fundamental representations regarding organization, authority, title to Shares, capitalization, taxes, and brokers shall survive for 36 months after Closing, except that tax matters shall survive until 60 days after expiration of the applicable statute of limitations; covenants shall survive according to their terms; and fraud claims shall survive as provided by law. Seller shall have no liability for breaches of non-fundamental representations unless aggregate losses exceed USD 360,000, after which Seller shall be liable only for amounts in excess of such threshold. Seller's aggregate liability for breaches of non-fundamental representations shall not exceed USD 3,600,000. These basket and cap limitations shall not apply to breaches of fundamental representations, covenants, pre-Closing taxes, or fraud; provided that Seller's aggregate liability shall not exceed the Purchase Price except in the case of fraud. At Closing, USD 1,800,000 of the Purchase Price shall be deposited with a mutually acceptable escrow agent for 12 months to secure Seller's indemnification obligations for non-fundamental representation claims, with any remaining amount released to Seller promptly thereafter, subject to pending claims. Indemnification claims shall be made by written notice describing the claim in reasonable detail, and third-party claims shall be subject to customary defense, cooperation, and settlement procedures. Except for claims for fraud, equitable relief, and disputes regarding the escrow, the indemnification rights in this Section constitute Buyer's sole and exclusive monetary remedy after Closing for matters arising under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