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in immediately available funds at Closing, free and clear of any deduction, set-off, counterclaim or withholding except as required by applicable law.</w:t>
      </w:r>
    </w:p>
    <w:p>
      <w:r>
        <w:t>2. Closing. Closing shall occur within 30 days of signing, subject only to satisfaction or waiver of the conditions expressly set forth in this Agreement.</w:t>
      </w:r>
    </w:p>
    <w:p>
      <w:r>
        <w:t>3. Representations. The Seller represents that, to the Seller's knowledge, the financial statements fairly present in all material respects the financial position of the Company as of the dates indicated, subject to normal year-end adjustments and the matters disclosed to the Buyer prior to signing.</w:t>
      </w:r>
    </w:p>
    <w:p>
      <w:r>
        <w:t>4. Confidentiality. The terms of this Agreement, the negotiations relating to it, and all non-public information exchanged between the parties are confidential and shall not be disclosed by either party except to its representatives, financing sources, insurers, regulators, or as required by applicable law, in each case subject to customary confidentiality obligations where reasonably practicable.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